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48" w:rsidRPr="00B42D25" w:rsidRDefault="00043848" w:rsidP="00B42D25">
      <w:pPr>
        <w:jc w:val="center"/>
        <w:rPr>
          <w:b/>
          <w:u w:val="single"/>
        </w:rPr>
      </w:pPr>
      <w:r w:rsidRPr="00B42D25">
        <w:rPr>
          <w:b/>
          <w:u w:val="single"/>
        </w:rPr>
        <w:t>What is competitive bidding?</w:t>
      </w:r>
    </w:p>
    <w:p w:rsidR="00043848" w:rsidRDefault="00692624" w:rsidP="001762DE">
      <w:r>
        <w:tab/>
        <w:t xml:space="preserve">Competitive bidding is a process in which a public entity asks for vendors to bid on a listed project so that </w:t>
      </w:r>
      <w:r w:rsidR="00E97D67">
        <w:t>there can be fair competition and the entity can obtain a reasonable price.</w:t>
      </w:r>
      <w:r w:rsidR="001762DE">
        <w:t xml:space="preserve"> It is required when purchasing products and/or services of more than $100,000 annually, unless an exception applies.</w:t>
      </w:r>
    </w:p>
    <w:p w:rsidR="00692624" w:rsidRDefault="00692624"/>
    <w:p w:rsidR="00BA6697" w:rsidRPr="00B42D25" w:rsidRDefault="00BA6697" w:rsidP="00B42D25">
      <w:pPr>
        <w:jc w:val="center"/>
        <w:rPr>
          <w:b/>
          <w:u w:val="single"/>
        </w:rPr>
      </w:pPr>
      <w:r w:rsidRPr="00B42D25">
        <w:rPr>
          <w:b/>
          <w:u w:val="single"/>
        </w:rPr>
        <w:t>What are the exceptions to competitively bidding out goods or services?</w:t>
      </w:r>
    </w:p>
    <w:p w:rsidR="00BA6697" w:rsidRDefault="00EE1783" w:rsidP="00581A94">
      <w:r>
        <w:tab/>
      </w:r>
      <w:r w:rsidR="00581A94">
        <w:t xml:space="preserve">If an exception applies, the department must submit a </w:t>
      </w:r>
      <w:r w:rsidR="00581A94" w:rsidRPr="00AA1659">
        <w:rPr>
          <w:u w:val="single"/>
        </w:rPr>
        <w:t>justification and approval form</w:t>
      </w:r>
      <w:r w:rsidR="00581A94">
        <w:t>.</w:t>
      </w:r>
    </w:p>
    <w:p w:rsidR="00933AF8" w:rsidRDefault="00933AF8" w:rsidP="00581A94"/>
    <w:tbl>
      <w:tblPr>
        <w:tblW w:w="7177" w:type="pct"/>
        <w:tblInd w:w="-2510" w:type="dxa"/>
        <w:tblCellMar>
          <w:left w:w="0" w:type="dxa"/>
          <w:right w:w="0" w:type="dxa"/>
        </w:tblCellMar>
        <w:tblLook w:val="0420" w:firstRow="1" w:lastRow="0" w:firstColumn="0" w:lastColumn="0" w:noHBand="0" w:noVBand="1"/>
      </w:tblPr>
      <w:tblGrid>
        <w:gridCol w:w="4201"/>
        <w:gridCol w:w="7061"/>
      </w:tblGrid>
      <w:tr w:rsidR="00933AF8" w:rsidRPr="00692624" w:rsidTr="00B42D25">
        <w:trPr>
          <w:trHeight w:val="34"/>
        </w:trPr>
        <w:tc>
          <w:tcPr>
            <w:tcW w:w="1865"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33AF8" w:rsidRPr="00B42D25" w:rsidRDefault="00933AF8" w:rsidP="005F3E48">
            <w:pPr>
              <w:rPr>
                <w:sz w:val="20"/>
                <w:szCs w:val="20"/>
              </w:rPr>
            </w:pPr>
            <w:r w:rsidRPr="00B42D25">
              <w:rPr>
                <w:b/>
                <w:bCs/>
                <w:color w:val="FFFFFF" w:themeColor="background1"/>
                <w:sz w:val="20"/>
                <w:szCs w:val="20"/>
              </w:rPr>
              <w:t>Exception</w:t>
            </w:r>
          </w:p>
        </w:tc>
        <w:tc>
          <w:tcPr>
            <w:tcW w:w="3135"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33AF8" w:rsidRPr="00B42D25" w:rsidRDefault="00933AF8" w:rsidP="005F3E48">
            <w:pPr>
              <w:rPr>
                <w:sz w:val="20"/>
                <w:szCs w:val="20"/>
              </w:rPr>
            </w:pPr>
            <w:r w:rsidRPr="00B42D25">
              <w:rPr>
                <w:b/>
                <w:bCs/>
                <w:color w:val="FFFFFF" w:themeColor="background1"/>
                <w:sz w:val="20"/>
                <w:szCs w:val="20"/>
              </w:rPr>
              <w:t>Definition</w:t>
            </w:r>
          </w:p>
        </w:tc>
      </w:tr>
      <w:tr w:rsidR="00933AF8" w:rsidRPr="00692624" w:rsidTr="009F5FF3">
        <w:trPr>
          <w:trHeight w:val="404"/>
        </w:trPr>
        <w:tc>
          <w:tcPr>
            <w:tcW w:w="1865"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Sole Source Goods / Services</w:t>
            </w:r>
          </w:p>
        </w:tc>
        <w:tc>
          <w:tcPr>
            <w:tcW w:w="3135"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Only source that meets needs because they are either (1) unique, (2) available for only one source, or (3) are designed to match others used in or furnished to a particular installation, facility or location.</w:t>
            </w:r>
          </w:p>
        </w:tc>
      </w:tr>
      <w:tr w:rsidR="00933AF8" w:rsidRPr="00692624" w:rsidTr="009F5FF3">
        <w:trPr>
          <w:trHeight w:val="404"/>
        </w:trPr>
        <w:tc>
          <w:tcPr>
            <w:tcW w:w="1865"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Professional Services</w:t>
            </w:r>
          </w:p>
        </w:tc>
        <w:tc>
          <w:tcPr>
            <w:tcW w:w="3135"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33AF8" w:rsidRPr="00B42D25" w:rsidRDefault="00933AF8" w:rsidP="00933AF8">
            <w:pPr>
              <w:rPr>
                <w:sz w:val="20"/>
                <w:szCs w:val="20"/>
              </w:rPr>
            </w:pPr>
            <w:r w:rsidRPr="00B42D25">
              <w:rPr>
                <w:sz w:val="20"/>
                <w:szCs w:val="20"/>
              </w:rPr>
              <w:t>Highly specialized functions, typically of a technical nature, performed by a supplier that, with respect to the services, commonly (1) has a professional license, (2) is licensed by a regulatory body, and/or (3) is able to obtain professional errors and omissions insurance.</w:t>
            </w:r>
          </w:p>
        </w:tc>
      </w:tr>
      <w:tr w:rsidR="00933AF8" w:rsidRPr="00692624" w:rsidTr="009F5FF3">
        <w:trPr>
          <w:trHeight w:val="404"/>
        </w:trPr>
        <w:tc>
          <w:tcPr>
            <w:tcW w:w="1865" w:type="pct"/>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Personal Services</w:t>
            </w:r>
          </w:p>
        </w:tc>
        <w:tc>
          <w:tcPr>
            <w:tcW w:w="3135" w:type="pct"/>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Technical or unique functions performed by a supplier that is distinctly qualified to render the services.</w:t>
            </w:r>
          </w:p>
        </w:tc>
      </w:tr>
      <w:tr w:rsidR="00933AF8" w:rsidRPr="00692624" w:rsidTr="009F5FF3">
        <w:trPr>
          <w:trHeight w:val="404"/>
        </w:trPr>
        <w:tc>
          <w:tcPr>
            <w:tcW w:w="1865"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Unusual and Compelling Urgency</w:t>
            </w:r>
          </w:p>
        </w:tc>
        <w:tc>
          <w:tcPr>
            <w:tcW w:w="3135"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33AF8" w:rsidRPr="00B42D25" w:rsidRDefault="00933AF8" w:rsidP="005F3E48">
            <w:pPr>
              <w:rPr>
                <w:sz w:val="20"/>
                <w:szCs w:val="20"/>
              </w:rPr>
            </w:pPr>
            <w:r w:rsidRPr="00B42D25">
              <w:rPr>
                <w:sz w:val="20"/>
                <w:szCs w:val="20"/>
              </w:rPr>
              <w:t>When there is only one supplier capable of meeting the University’s needs due to an emergency that precludes conventional planning and processing.</w:t>
            </w:r>
          </w:p>
        </w:tc>
      </w:tr>
    </w:tbl>
    <w:p w:rsidR="00DC685B" w:rsidRDefault="00DC685B">
      <w:r>
        <w:t xml:space="preserve"> </w:t>
      </w:r>
      <w:r w:rsidR="00E066AB">
        <w:tab/>
        <w:t xml:space="preserve"> </w:t>
      </w:r>
    </w:p>
    <w:p w:rsidR="00BA6697" w:rsidRPr="00B42D25" w:rsidRDefault="00BA6697" w:rsidP="00B42D25">
      <w:pPr>
        <w:jc w:val="center"/>
        <w:rPr>
          <w:b/>
          <w:u w:val="single"/>
        </w:rPr>
      </w:pPr>
      <w:r w:rsidRPr="00B42D25">
        <w:rPr>
          <w:b/>
          <w:u w:val="single"/>
        </w:rPr>
        <w:t xml:space="preserve">Are there any </w:t>
      </w:r>
      <w:r w:rsidR="00E97D67" w:rsidRPr="00B42D25">
        <w:rPr>
          <w:b/>
          <w:u w:val="single"/>
        </w:rPr>
        <w:t>risks/</w:t>
      </w:r>
      <w:r w:rsidRPr="00B42D25">
        <w:rPr>
          <w:b/>
          <w:u w:val="single"/>
        </w:rPr>
        <w:t xml:space="preserve">consequences to </w:t>
      </w:r>
      <w:r w:rsidR="00FF0F3A" w:rsidRPr="00B42D25">
        <w:rPr>
          <w:b/>
          <w:u w:val="single"/>
        </w:rPr>
        <w:t>competitive bidding noncompliance?</w:t>
      </w:r>
    </w:p>
    <w:p w:rsidR="00FF0F3A" w:rsidRDefault="00C647C4">
      <w:r>
        <w:tab/>
        <w:t xml:space="preserve">Yes. </w:t>
      </w:r>
      <w:r w:rsidR="00E97D67">
        <w:t xml:space="preserve">Noncompliance from competitive bidding can result in negative consequences such as </w:t>
      </w:r>
      <w:r>
        <w:t>California</w:t>
      </w:r>
      <w:r w:rsidR="00E97D67">
        <w:t xml:space="preserve"> Public Records Act Requests, complaints and protests, cancellation of bid or contract, court proceedings, penalties or fines, state audit, and bad publicity.</w:t>
      </w:r>
    </w:p>
    <w:p w:rsidR="00B42D25" w:rsidRPr="00B42D25" w:rsidRDefault="00B42D25" w:rsidP="00B42D25">
      <w:pPr>
        <w:jc w:val="center"/>
        <w:rPr>
          <w:b/>
          <w:u w:val="single"/>
        </w:rPr>
      </w:pPr>
      <w:r w:rsidRPr="00B42D25">
        <w:rPr>
          <w:b/>
          <w:u w:val="single"/>
        </w:rPr>
        <w:t>How are bids evaluated/awarded?</w:t>
      </w:r>
    </w:p>
    <w:p w:rsidR="00B42D25" w:rsidRDefault="00B42D25" w:rsidP="00B42D25">
      <w:r>
        <w:tab/>
        <w:t xml:space="preserve">First, </w:t>
      </w:r>
      <w:r>
        <w:t>it</w:t>
      </w:r>
      <w:r>
        <w:t xml:space="preserve"> is the practice of the University of California to award contracts at the lowest overall total cost or best value, as applicable, while affording the maximum opportunity practicable to those who wish to become suppliers to the University. </w:t>
      </w:r>
    </w:p>
    <w:p w:rsidR="00FF0F3A" w:rsidRDefault="00FF0F3A"/>
    <w:p w:rsidR="00FF0F3A" w:rsidRPr="00B42D25" w:rsidRDefault="00FF0F3A" w:rsidP="00B42D25">
      <w:pPr>
        <w:jc w:val="center"/>
        <w:rPr>
          <w:b/>
          <w:u w:val="single"/>
        </w:rPr>
      </w:pPr>
      <w:r w:rsidRPr="00B42D25">
        <w:rPr>
          <w:b/>
          <w:u w:val="single"/>
        </w:rPr>
        <w:t xml:space="preserve">What are the competitive bidding </w:t>
      </w:r>
      <w:r w:rsidR="00E066AB" w:rsidRPr="00B42D25">
        <w:rPr>
          <w:b/>
          <w:u w:val="single"/>
        </w:rPr>
        <w:t xml:space="preserve">solicitation </w:t>
      </w:r>
      <w:r w:rsidRPr="00B42D25">
        <w:rPr>
          <w:b/>
          <w:u w:val="single"/>
        </w:rPr>
        <w:t>methods?</w:t>
      </w:r>
    </w:p>
    <w:p w:rsidR="00FF0F3A" w:rsidRDefault="00E066AB">
      <w:r>
        <w:tab/>
        <w:t xml:space="preserve">There are 4 methods: Request for Information (RFI), Request for Quote (RFQ), </w:t>
      </w:r>
      <w:proofErr w:type="gramStart"/>
      <w:r>
        <w:t>Request</w:t>
      </w:r>
      <w:proofErr w:type="gramEnd"/>
      <w:r>
        <w:t xml:space="preserve"> for Proposal (RFP), and Reverse Auction.</w:t>
      </w:r>
    </w:p>
    <w:tbl>
      <w:tblPr>
        <w:tblpPr w:leftFromText="180" w:rightFromText="180" w:horzAnchor="page" w:tblpXSpec="center" w:tblpY="345"/>
        <w:tblW w:w="10880" w:type="dxa"/>
        <w:jc w:val="center"/>
        <w:tblCellMar>
          <w:left w:w="0" w:type="dxa"/>
          <w:right w:w="0" w:type="dxa"/>
        </w:tblCellMar>
        <w:tblLook w:val="0420" w:firstRow="1" w:lastRow="0" w:firstColumn="0" w:lastColumn="0" w:noHBand="0" w:noVBand="1"/>
      </w:tblPr>
      <w:tblGrid>
        <w:gridCol w:w="1182"/>
        <w:gridCol w:w="2441"/>
        <w:gridCol w:w="2041"/>
        <w:gridCol w:w="2727"/>
        <w:gridCol w:w="2489"/>
      </w:tblGrid>
      <w:tr w:rsidR="009F5FF3" w:rsidRPr="009F5FF3" w:rsidTr="00815EA8">
        <w:trPr>
          <w:trHeight w:val="27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F5FF3" w:rsidRPr="00815EA8" w:rsidRDefault="009F5FF3" w:rsidP="00907BEC">
            <w:pPr>
              <w:rPr>
                <w:color w:val="FFFFFF" w:themeColor="background1"/>
                <w:sz w:val="20"/>
                <w:szCs w:val="20"/>
              </w:rPr>
            </w:pPr>
            <w:proofErr w:type="spellStart"/>
            <w:r w:rsidRPr="00815EA8">
              <w:rPr>
                <w:b/>
                <w:bCs/>
                <w:color w:val="FFFFFF" w:themeColor="background1"/>
                <w:sz w:val="20"/>
                <w:szCs w:val="20"/>
              </w:rPr>
              <w:lastRenderedPageBreak/>
              <w:t>RFx</w:t>
            </w:r>
            <w:proofErr w:type="spellEnd"/>
            <w:r w:rsidRPr="00815EA8">
              <w:rPr>
                <w:b/>
                <w:bCs/>
                <w:color w:val="FFFFFF" w:themeColor="background1"/>
                <w:sz w:val="20"/>
                <w:szCs w:val="20"/>
              </w:rPr>
              <w:t xml:space="preserve"> Type:</w:t>
            </w:r>
          </w:p>
        </w:tc>
        <w:tc>
          <w:tcPr>
            <w:tcW w:w="0" w:type="auto"/>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F5FF3" w:rsidRPr="00815EA8" w:rsidRDefault="009F5FF3" w:rsidP="00907BEC">
            <w:pPr>
              <w:rPr>
                <w:color w:val="FFFFFF" w:themeColor="background1"/>
                <w:sz w:val="20"/>
                <w:szCs w:val="20"/>
              </w:rPr>
            </w:pPr>
            <w:r w:rsidRPr="00815EA8">
              <w:rPr>
                <w:b/>
                <w:bCs/>
                <w:color w:val="FFFFFF" w:themeColor="background1"/>
                <w:sz w:val="20"/>
                <w:szCs w:val="20"/>
              </w:rPr>
              <w:t>Request For Information (RFI)</w:t>
            </w:r>
          </w:p>
        </w:tc>
        <w:tc>
          <w:tcPr>
            <w:tcW w:w="0" w:type="auto"/>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F5FF3" w:rsidRPr="00815EA8" w:rsidRDefault="009F5FF3" w:rsidP="00907BEC">
            <w:pPr>
              <w:rPr>
                <w:color w:val="FFFFFF" w:themeColor="background1"/>
                <w:sz w:val="20"/>
                <w:szCs w:val="20"/>
              </w:rPr>
            </w:pPr>
            <w:r w:rsidRPr="00815EA8">
              <w:rPr>
                <w:b/>
                <w:bCs/>
                <w:color w:val="FFFFFF" w:themeColor="background1"/>
                <w:sz w:val="20"/>
                <w:szCs w:val="20"/>
              </w:rPr>
              <w:t>Request For Quote (RFQ)</w:t>
            </w:r>
          </w:p>
        </w:tc>
        <w:tc>
          <w:tcPr>
            <w:tcW w:w="0" w:type="auto"/>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F5FF3" w:rsidRPr="00815EA8" w:rsidRDefault="009F5FF3" w:rsidP="00907BEC">
            <w:pPr>
              <w:rPr>
                <w:color w:val="FFFFFF" w:themeColor="background1"/>
                <w:sz w:val="20"/>
                <w:szCs w:val="20"/>
              </w:rPr>
            </w:pPr>
            <w:r w:rsidRPr="00815EA8">
              <w:rPr>
                <w:b/>
                <w:bCs/>
                <w:color w:val="FFFFFF" w:themeColor="background1"/>
                <w:sz w:val="20"/>
                <w:szCs w:val="20"/>
              </w:rPr>
              <w:t>Request For Proposal (RFP)</w:t>
            </w:r>
          </w:p>
        </w:tc>
        <w:tc>
          <w:tcPr>
            <w:tcW w:w="0" w:type="auto"/>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9F5FF3" w:rsidRPr="00815EA8" w:rsidRDefault="009F5FF3" w:rsidP="00907BEC">
            <w:pPr>
              <w:rPr>
                <w:color w:val="FFFFFF" w:themeColor="background1"/>
                <w:sz w:val="20"/>
                <w:szCs w:val="20"/>
              </w:rPr>
            </w:pPr>
            <w:r w:rsidRPr="00815EA8">
              <w:rPr>
                <w:b/>
                <w:bCs/>
                <w:color w:val="FFFFFF" w:themeColor="background1"/>
                <w:sz w:val="20"/>
                <w:szCs w:val="20"/>
              </w:rPr>
              <w:t>Reverse Auction</w:t>
            </w:r>
          </w:p>
        </w:tc>
      </w:tr>
      <w:tr w:rsidR="009F5FF3" w:rsidRPr="009F5FF3" w:rsidTr="00815EA8">
        <w:trPr>
          <w:trHeight w:val="1787"/>
          <w:jc w:val="center"/>
        </w:trPr>
        <w:tc>
          <w:tcPr>
            <w:tcW w:w="0" w:type="auto"/>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Purpose</w:t>
            </w:r>
          </w:p>
        </w:tc>
        <w:tc>
          <w:tcPr>
            <w:tcW w:w="0" w:type="auto"/>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Obtain general information from suppliers about products, services or suppliers; develop list of qualified suppliers or to down-select prior to pricing solicitation</w:t>
            </w:r>
          </w:p>
        </w:tc>
        <w:tc>
          <w:tcPr>
            <w:tcW w:w="0" w:type="auto"/>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Invite suppliers to provide a quote for specified products or services</w:t>
            </w:r>
          </w:p>
        </w:tc>
        <w:tc>
          <w:tcPr>
            <w:tcW w:w="0" w:type="auto"/>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Invite suppliers to bid on products or services</w:t>
            </w:r>
          </w:p>
        </w:tc>
        <w:tc>
          <w:tcPr>
            <w:tcW w:w="0" w:type="auto"/>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Drive incremental benefit through real-time competition</w:t>
            </w:r>
          </w:p>
        </w:tc>
      </w:tr>
      <w:tr w:rsidR="009F5FF3" w:rsidRPr="009F5FF3" w:rsidTr="00815EA8">
        <w:trPr>
          <w:trHeight w:val="30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Used For</w:t>
            </w:r>
          </w:p>
        </w:tc>
        <w:tc>
          <w:tcPr>
            <w:tcW w:w="0" w:type="auto"/>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Any product, service, or category</w:t>
            </w:r>
          </w:p>
        </w:tc>
        <w:tc>
          <w:tcPr>
            <w:tcW w:w="0" w:type="auto"/>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Highly Standardized or Co</w:t>
            </w:r>
            <w:r w:rsidR="00F04EEA" w:rsidRPr="00B42D25">
              <w:rPr>
                <w:sz w:val="20"/>
                <w:szCs w:val="20"/>
              </w:rPr>
              <w:t>mmoditized Products or Services</w:t>
            </w:r>
          </w:p>
        </w:tc>
        <w:tc>
          <w:tcPr>
            <w:tcW w:w="0" w:type="auto"/>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Any product, service or category which qualitative factors are important</w:t>
            </w:r>
          </w:p>
        </w:tc>
        <w:tc>
          <w:tcPr>
            <w:tcW w:w="0" w:type="auto"/>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Highly Standardized or Commoditized Products</w:t>
            </w:r>
          </w:p>
        </w:tc>
      </w:tr>
      <w:tr w:rsidR="009F5FF3" w:rsidRPr="009F5FF3" w:rsidTr="00815EA8">
        <w:trPr>
          <w:trHeight w:val="16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Used When</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Seeking insight from supplier community that is not otherwise available, or when looking to identify qualified suppliers; information request</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 xml:space="preserve">Price is the only factor </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Quality is an important factor in supplier selection</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 xml:space="preserve">Competitive market; at least 3 suppliers included in the event; clearly defined purchase requirements; pre-qualified suppliers identified using an </w:t>
            </w:r>
            <w:proofErr w:type="spellStart"/>
            <w:r w:rsidRPr="00B42D25">
              <w:rPr>
                <w:sz w:val="20"/>
                <w:szCs w:val="20"/>
              </w:rPr>
              <w:t>RFx</w:t>
            </w:r>
            <w:proofErr w:type="spellEnd"/>
          </w:p>
        </w:tc>
      </w:tr>
      <w:tr w:rsidR="009F5FF3" w:rsidRPr="009F5FF3" w:rsidTr="00815EA8">
        <w:trPr>
          <w:trHeight w:val="927"/>
          <w:jc w:val="center"/>
        </w:trPr>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Benefits</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Used prior to strategy development or prior to solicitation</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Immediate results</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Request and receive details on important qualitative selection factors; Evaluation considers input from a broad spectrum of functional experts ensuring that the solution chosen will suit requirements</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Real-time bidding; Conducted on an eProcurement platform</w:t>
            </w:r>
          </w:p>
        </w:tc>
      </w:tr>
      <w:tr w:rsidR="009F5FF3" w:rsidRPr="009F5FF3" w:rsidTr="00815EA8">
        <w:trPr>
          <w:trHeight w:val="84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Challenges</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Not binding on the UC or a supplier</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Qualitative factors not considered in selection; lowest bidder may not be the best solution</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Lengthier than other methods</w:t>
            </w:r>
          </w:p>
        </w:tc>
        <w:tc>
          <w:tcPr>
            <w:tcW w:w="0" w:type="auto"/>
            <w:tcBorders>
              <w:top w:val="single" w:sz="8"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9F5FF3" w:rsidRPr="00B42D25" w:rsidRDefault="009F5FF3" w:rsidP="00907BEC">
            <w:pPr>
              <w:rPr>
                <w:sz w:val="20"/>
                <w:szCs w:val="20"/>
              </w:rPr>
            </w:pPr>
            <w:r w:rsidRPr="00B42D25">
              <w:rPr>
                <w:sz w:val="20"/>
                <w:szCs w:val="20"/>
              </w:rPr>
              <w:t>Qualitative factors not considered in selection; lowest bidder may not be the best solution</w:t>
            </w:r>
          </w:p>
        </w:tc>
      </w:tr>
    </w:tbl>
    <w:p w:rsidR="009F5FF3" w:rsidRDefault="009F5FF3">
      <w:bookmarkStart w:id="0" w:name="_GoBack"/>
      <w:bookmarkEnd w:id="0"/>
    </w:p>
    <w:p w:rsidR="009F5FF3" w:rsidRDefault="009F5FF3"/>
    <w:p w:rsidR="00692624" w:rsidRDefault="00692624"/>
    <w:p w:rsidR="00907BEC" w:rsidRPr="00B42D25" w:rsidRDefault="00B42D25" w:rsidP="00B42D25">
      <w:pPr>
        <w:jc w:val="center"/>
        <w:rPr>
          <w:b/>
          <w:u w:val="single"/>
        </w:rPr>
      </w:pPr>
      <w:r w:rsidRPr="00B42D25">
        <w:rPr>
          <w:b/>
          <w:u w:val="single"/>
        </w:rPr>
        <w:t>How long does a Request for Proposals take?</w:t>
      </w:r>
    </w:p>
    <w:tbl>
      <w:tblPr>
        <w:tblpPr w:leftFromText="180" w:rightFromText="180" w:vertAnchor="page" w:horzAnchor="margin" w:tblpY="12092"/>
        <w:tblOverlap w:val="never"/>
        <w:tblW w:w="7486" w:type="dxa"/>
        <w:tblCellMar>
          <w:left w:w="0" w:type="dxa"/>
          <w:right w:w="0" w:type="dxa"/>
        </w:tblCellMar>
        <w:tblLook w:val="0420" w:firstRow="1" w:lastRow="0" w:firstColumn="0" w:lastColumn="0" w:noHBand="0" w:noVBand="1"/>
      </w:tblPr>
      <w:tblGrid>
        <w:gridCol w:w="1495"/>
        <w:gridCol w:w="1490"/>
        <w:gridCol w:w="1493"/>
        <w:gridCol w:w="1493"/>
        <w:gridCol w:w="1515"/>
      </w:tblGrid>
      <w:tr w:rsidR="00815EA8" w:rsidRPr="00692624" w:rsidTr="00815EA8">
        <w:trPr>
          <w:trHeight w:val="171"/>
        </w:trPr>
        <w:tc>
          <w:tcPr>
            <w:tcW w:w="999"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815EA8" w:rsidRPr="00815EA8" w:rsidRDefault="00815EA8" w:rsidP="00815EA8">
            <w:pPr>
              <w:rPr>
                <w:sz w:val="20"/>
                <w:szCs w:val="20"/>
              </w:rPr>
            </w:pPr>
          </w:p>
        </w:tc>
        <w:tc>
          <w:tcPr>
            <w:tcW w:w="995"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815EA8" w:rsidRPr="00815EA8" w:rsidRDefault="00815EA8" w:rsidP="00815EA8">
            <w:pPr>
              <w:rPr>
                <w:sz w:val="20"/>
                <w:szCs w:val="20"/>
              </w:rPr>
            </w:pPr>
            <w:r w:rsidRPr="00815EA8">
              <w:rPr>
                <w:b/>
                <w:bCs/>
                <w:color w:val="FFFFFF" w:themeColor="background1"/>
                <w:sz w:val="20"/>
                <w:szCs w:val="20"/>
              </w:rPr>
              <w:t>EXPRESS</w:t>
            </w:r>
          </w:p>
        </w:tc>
        <w:tc>
          <w:tcPr>
            <w:tcW w:w="997"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815EA8" w:rsidRPr="00815EA8" w:rsidRDefault="00815EA8" w:rsidP="00815EA8">
            <w:pPr>
              <w:rPr>
                <w:sz w:val="20"/>
                <w:szCs w:val="20"/>
              </w:rPr>
            </w:pPr>
            <w:r w:rsidRPr="00815EA8">
              <w:rPr>
                <w:b/>
                <w:bCs/>
                <w:color w:val="FFFFFF" w:themeColor="background1"/>
                <w:sz w:val="20"/>
                <w:szCs w:val="20"/>
              </w:rPr>
              <w:t>SIMPLE</w:t>
            </w:r>
          </w:p>
        </w:tc>
        <w:tc>
          <w:tcPr>
            <w:tcW w:w="997"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815EA8" w:rsidRPr="00815EA8" w:rsidRDefault="00815EA8" w:rsidP="00815EA8">
            <w:pPr>
              <w:rPr>
                <w:sz w:val="20"/>
                <w:szCs w:val="20"/>
              </w:rPr>
            </w:pPr>
            <w:r w:rsidRPr="00815EA8">
              <w:rPr>
                <w:b/>
                <w:bCs/>
                <w:color w:val="FFFFFF" w:themeColor="background1"/>
                <w:sz w:val="20"/>
                <w:szCs w:val="20"/>
              </w:rPr>
              <w:t>AVERAGE</w:t>
            </w:r>
          </w:p>
        </w:tc>
        <w:tc>
          <w:tcPr>
            <w:tcW w:w="1012" w:type="pct"/>
            <w:tcBorders>
              <w:top w:val="single" w:sz="8" w:space="0" w:color="FFFFFF"/>
              <w:left w:val="single" w:sz="8" w:space="0" w:color="FFFFFF"/>
              <w:bottom w:val="single" w:sz="24" w:space="0" w:color="FFFFFF"/>
              <w:right w:val="single" w:sz="8" w:space="0" w:color="FFFFFF"/>
            </w:tcBorders>
            <w:shd w:val="clear" w:color="auto" w:fill="0093D0"/>
            <w:tcMar>
              <w:top w:w="72" w:type="dxa"/>
              <w:left w:w="144" w:type="dxa"/>
              <w:bottom w:w="72" w:type="dxa"/>
              <w:right w:w="144" w:type="dxa"/>
            </w:tcMar>
            <w:hideMark/>
          </w:tcPr>
          <w:p w:rsidR="00815EA8" w:rsidRPr="00815EA8" w:rsidRDefault="00815EA8" w:rsidP="00815EA8">
            <w:pPr>
              <w:rPr>
                <w:sz w:val="20"/>
                <w:szCs w:val="20"/>
              </w:rPr>
            </w:pPr>
            <w:r w:rsidRPr="00815EA8">
              <w:rPr>
                <w:b/>
                <w:bCs/>
                <w:color w:val="FFFFFF" w:themeColor="background1"/>
                <w:sz w:val="20"/>
                <w:szCs w:val="20"/>
              </w:rPr>
              <w:t>COMPLEX</w:t>
            </w:r>
          </w:p>
        </w:tc>
      </w:tr>
      <w:tr w:rsidR="00815EA8" w:rsidRPr="00692624" w:rsidTr="00815EA8">
        <w:trPr>
          <w:trHeight w:val="171"/>
        </w:trPr>
        <w:tc>
          <w:tcPr>
            <w:tcW w:w="999"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No. of Weeks</w:t>
            </w:r>
          </w:p>
        </w:tc>
        <w:tc>
          <w:tcPr>
            <w:tcW w:w="995"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9.0</w:t>
            </w:r>
          </w:p>
        </w:tc>
        <w:tc>
          <w:tcPr>
            <w:tcW w:w="997"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13.5</w:t>
            </w:r>
          </w:p>
        </w:tc>
        <w:tc>
          <w:tcPr>
            <w:tcW w:w="997"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20.5</w:t>
            </w:r>
          </w:p>
        </w:tc>
        <w:tc>
          <w:tcPr>
            <w:tcW w:w="1012" w:type="pct"/>
            <w:tcBorders>
              <w:top w:val="single" w:sz="24" w:space="0" w:color="FFFFFF"/>
              <w:left w:val="single" w:sz="8" w:space="0" w:color="FFFFFF"/>
              <w:bottom w:val="single" w:sz="8" w:space="0" w:color="FFFFFF"/>
              <w:right w:val="single" w:sz="8" w:space="0" w:color="FFFFFF"/>
            </w:tcBorders>
            <w:shd w:val="clear" w:color="auto" w:fill="CBDCEE"/>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28.5</w:t>
            </w:r>
          </w:p>
        </w:tc>
      </w:tr>
      <w:tr w:rsidR="00815EA8" w:rsidRPr="00692624" w:rsidTr="00815EA8">
        <w:trPr>
          <w:trHeight w:val="171"/>
        </w:trPr>
        <w:tc>
          <w:tcPr>
            <w:tcW w:w="999"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No. of Months</w:t>
            </w:r>
          </w:p>
        </w:tc>
        <w:tc>
          <w:tcPr>
            <w:tcW w:w="995"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2.1</w:t>
            </w:r>
          </w:p>
        </w:tc>
        <w:tc>
          <w:tcPr>
            <w:tcW w:w="997"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3.1</w:t>
            </w:r>
          </w:p>
        </w:tc>
        <w:tc>
          <w:tcPr>
            <w:tcW w:w="997"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4.8</w:t>
            </w:r>
          </w:p>
        </w:tc>
        <w:tc>
          <w:tcPr>
            <w:tcW w:w="1012" w:type="pct"/>
            <w:tcBorders>
              <w:top w:val="single" w:sz="8" w:space="0" w:color="FFFFFF"/>
              <w:left w:val="single" w:sz="8" w:space="0" w:color="FFFFFF"/>
              <w:bottom w:val="single" w:sz="8" w:space="0" w:color="FFFFFF"/>
              <w:right w:val="single" w:sz="8" w:space="0" w:color="FFFFFF"/>
            </w:tcBorders>
            <w:shd w:val="clear" w:color="auto" w:fill="E7EEF7"/>
            <w:tcMar>
              <w:top w:w="72" w:type="dxa"/>
              <w:left w:w="144" w:type="dxa"/>
              <w:bottom w:w="72" w:type="dxa"/>
              <w:right w:w="144" w:type="dxa"/>
            </w:tcMar>
            <w:hideMark/>
          </w:tcPr>
          <w:p w:rsidR="00815EA8" w:rsidRPr="00815EA8" w:rsidRDefault="00815EA8" w:rsidP="00815EA8">
            <w:pPr>
              <w:rPr>
                <w:sz w:val="20"/>
                <w:szCs w:val="20"/>
              </w:rPr>
            </w:pPr>
            <w:r w:rsidRPr="00815EA8">
              <w:rPr>
                <w:sz w:val="20"/>
                <w:szCs w:val="20"/>
              </w:rPr>
              <w:t>6.6</w:t>
            </w:r>
          </w:p>
        </w:tc>
      </w:tr>
    </w:tbl>
    <w:p w:rsidR="00692624" w:rsidRPr="00E54A5B" w:rsidRDefault="00FF0F3A" w:rsidP="00933AF8">
      <w:r>
        <w:t xml:space="preserve">It depends. The timeline for RFP’s depends on the complexity of the procurement/sourcing transaction. On average, a RFP can take </w:t>
      </w:r>
      <w:r w:rsidR="00CE0A0B">
        <w:t xml:space="preserve">20.5 weeks (or 4.8 months) to complete. </w:t>
      </w:r>
    </w:p>
    <w:sectPr w:rsidR="00692624" w:rsidRPr="00E54A5B" w:rsidSect="00BA7C6C">
      <w:headerReference w:type="default" r:id="rId8"/>
      <w:footerReference w:type="even" r:id="rId9"/>
      <w:footerReference w:type="default" r:id="rId10"/>
      <w:pgSz w:w="12240" w:h="15840"/>
      <w:pgMar w:top="1440" w:right="135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94" w:rsidRDefault="00BE1B94" w:rsidP="00907905">
      <w:r>
        <w:separator/>
      </w:r>
    </w:p>
  </w:endnote>
  <w:endnote w:type="continuationSeparator" w:id="0">
    <w:p w:rsidR="00BE1B94" w:rsidRDefault="00BE1B94" w:rsidP="0090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CE" w:rsidRDefault="004160CE" w:rsidP="004160CE">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9876"/>
      <w:docPartObj>
        <w:docPartGallery w:val="Page Numbers (Bottom of Page)"/>
        <w:docPartUnique/>
      </w:docPartObj>
    </w:sdtPr>
    <w:sdtEndPr>
      <w:rPr>
        <w:noProof/>
      </w:rPr>
    </w:sdtEndPr>
    <w:sdtContent>
      <w:p w:rsidR="004160CE" w:rsidRDefault="004160CE">
        <w:pPr>
          <w:pStyle w:val="Footer"/>
          <w:jc w:val="center"/>
        </w:pPr>
        <w:r>
          <w:fldChar w:fldCharType="begin"/>
        </w:r>
        <w:r>
          <w:instrText xml:space="preserve"> PAGE   \* MERGEFORMAT </w:instrText>
        </w:r>
        <w:r>
          <w:fldChar w:fldCharType="separate"/>
        </w:r>
        <w:r w:rsidR="00815EA8">
          <w:rPr>
            <w:noProof/>
          </w:rPr>
          <w:t>1</w:t>
        </w:r>
        <w:r>
          <w:rPr>
            <w:noProof/>
          </w:rPr>
          <w:fldChar w:fldCharType="end"/>
        </w:r>
      </w:p>
    </w:sdtContent>
  </w:sdt>
  <w:p w:rsidR="00DA5FB2" w:rsidRDefault="00DA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94" w:rsidRDefault="00BE1B94" w:rsidP="00907905">
      <w:r>
        <w:separator/>
      </w:r>
    </w:p>
  </w:footnote>
  <w:footnote w:type="continuationSeparator" w:id="0">
    <w:p w:rsidR="00BE1B94" w:rsidRDefault="00BE1B94" w:rsidP="0090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05" w:rsidRDefault="005A7C74">
    <w:pPr>
      <w:pStyle w:val="Header"/>
    </w:pPr>
    <w:r>
      <w:rPr>
        <w:noProof/>
      </w:rPr>
      <w:drawing>
        <wp:anchor distT="0" distB="0" distL="114300" distR="114300" simplePos="0" relativeHeight="251661312" behindDoc="1" locked="0" layoutInCell="1" allowOverlap="1" wp14:anchorId="5822828A" wp14:editId="3EF6BD07">
          <wp:simplePos x="0" y="0"/>
          <wp:positionH relativeFrom="column">
            <wp:posOffset>5135880</wp:posOffset>
          </wp:positionH>
          <wp:positionV relativeFrom="outsideMargin">
            <wp:posOffset>175260</wp:posOffset>
          </wp:positionV>
          <wp:extent cx="571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logobox_navy_RGB_.7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BA6697" w:rsidRDefault="005A7C74" w:rsidP="00BA6697">
    <w:pPr>
      <w:pStyle w:val="Header"/>
      <w:jc w:val="center"/>
    </w:pPr>
    <w:r>
      <w:rPr>
        <w:noProof/>
      </w:rPr>
      <w:drawing>
        <wp:anchor distT="0" distB="0" distL="114300" distR="114300" simplePos="0" relativeHeight="251655168" behindDoc="0" locked="0" layoutInCell="1" allowOverlap="1" wp14:anchorId="1ABE87AB" wp14:editId="1A676199">
          <wp:simplePos x="0" y="0"/>
          <wp:positionH relativeFrom="margin">
            <wp:posOffset>-1684020</wp:posOffset>
          </wp:positionH>
          <wp:positionV relativeFrom="margin">
            <wp:posOffset>-472440</wp:posOffset>
          </wp:positionV>
          <wp:extent cx="1809750"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Health_Horiz_Tagline_RGB_2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9750" cy="723900"/>
                  </a:xfrm>
                  <a:prstGeom prst="rect">
                    <a:avLst/>
                  </a:prstGeom>
                </pic:spPr>
              </pic:pic>
            </a:graphicData>
          </a:graphic>
          <wp14:sizeRelH relativeFrom="margin">
            <wp14:pctWidth>0</wp14:pctWidth>
          </wp14:sizeRelH>
          <wp14:sizeRelV relativeFrom="margin">
            <wp14:pctHeight>0</wp14:pctHeight>
          </wp14:sizeRelV>
        </wp:anchor>
      </w:drawing>
    </w:r>
    <w:r w:rsidR="001762DE" w:rsidRPr="001762DE">
      <w:t xml:space="preserve"> Frequently Asked Questions about Competitive Bidding</w:t>
    </w:r>
  </w:p>
  <w:p w:rsidR="00907905" w:rsidRDefault="00907905">
    <w:pPr>
      <w:pStyle w:val="Header"/>
    </w:pPr>
  </w:p>
  <w:p w:rsidR="00907905" w:rsidRDefault="00907905">
    <w:pPr>
      <w:pStyle w:val="Header"/>
    </w:pPr>
    <w:r>
      <w:rPr>
        <w:noProof/>
      </w:rPr>
      <mc:AlternateContent>
        <mc:Choice Requires="wps">
          <w:drawing>
            <wp:anchor distT="0" distB="0" distL="114300" distR="114300" simplePos="0" relativeHeight="251659264" behindDoc="0" locked="0" layoutInCell="1" allowOverlap="1" wp14:anchorId="0B17E016" wp14:editId="2DFC53A1">
              <wp:simplePos x="0" y="0"/>
              <wp:positionH relativeFrom="column">
                <wp:posOffset>-1615440</wp:posOffset>
              </wp:positionH>
              <wp:positionV relativeFrom="paragraph">
                <wp:posOffset>615950</wp:posOffset>
              </wp:positionV>
              <wp:extent cx="1790700" cy="2118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90700" cy="2118360"/>
                      </a:xfrm>
                      <a:prstGeom prst="rect">
                        <a:avLst/>
                      </a:prstGeom>
                      <a:solidFill>
                        <a:sysClr val="window" lastClr="FFFFFF"/>
                      </a:solidFill>
                      <a:ln w="6350">
                        <a:noFill/>
                      </a:ln>
                      <a:effectLst/>
                    </wps:spPr>
                    <wps:txbx>
                      <w:txbxContent>
                        <w:p w:rsidR="00907905" w:rsidRPr="005A7C74" w:rsidRDefault="00B54A62" w:rsidP="00907905">
                          <w:pPr>
                            <w:rPr>
                              <w:rFonts w:cstheme="minorHAnsi"/>
                              <w:b/>
                              <w:color w:val="7F7F7F" w:themeColor="text1" w:themeTint="80"/>
                              <w:sz w:val="18"/>
                              <w:szCs w:val="18"/>
                            </w:rPr>
                          </w:pPr>
                          <w:r>
                            <w:rPr>
                              <w:rFonts w:cstheme="minorHAnsi"/>
                              <w:b/>
                              <w:color w:val="7F7F7F" w:themeColor="text1" w:themeTint="80"/>
                              <w:sz w:val="18"/>
                              <w:szCs w:val="18"/>
                            </w:rPr>
                            <w:t>Procurement Services</w:t>
                          </w:r>
                        </w:p>
                        <w:p w:rsidR="00907905" w:rsidRPr="005A7C74" w:rsidRDefault="00907905" w:rsidP="00907905">
                          <w:pPr>
                            <w:rPr>
                              <w:rFonts w:cstheme="minorHAnsi"/>
                              <w:color w:val="7F7F7F" w:themeColor="text1" w:themeTint="80"/>
                              <w:sz w:val="6"/>
                              <w:szCs w:val="6"/>
                            </w:rPr>
                          </w:pPr>
                        </w:p>
                        <w:p w:rsidR="00907905" w:rsidRPr="005A7C74" w:rsidRDefault="00907905" w:rsidP="00907905">
                          <w:pPr>
                            <w:rPr>
                              <w:rFonts w:cstheme="minorHAnsi"/>
                              <w:color w:val="7F7F7F" w:themeColor="text1" w:themeTint="80"/>
                              <w:sz w:val="16"/>
                              <w:szCs w:val="16"/>
                            </w:rPr>
                          </w:pPr>
                          <w:r w:rsidRPr="005A7C74">
                            <w:rPr>
                              <w:rFonts w:cstheme="minorHAnsi"/>
                              <w:color w:val="7F7F7F" w:themeColor="text1" w:themeTint="80"/>
                              <w:sz w:val="16"/>
                              <w:szCs w:val="16"/>
                            </w:rPr>
                            <w:t xml:space="preserve">UCSF Box </w:t>
                          </w:r>
                          <w:r w:rsidR="00B54A62">
                            <w:rPr>
                              <w:rFonts w:cstheme="minorHAnsi"/>
                              <w:color w:val="7F7F7F" w:themeColor="text1" w:themeTint="80"/>
                              <w:sz w:val="16"/>
                              <w:szCs w:val="16"/>
                            </w:rPr>
                            <w:t>5814</w:t>
                          </w:r>
                        </w:p>
                        <w:p w:rsidR="00907905" w:rsidRPr="005A7C74" w:rsidRDefault="00B54A62" w:rsidP="00907905">
                          <w:pPr>
                            <w:rPr>
                              <w:rFonts w:cstheme="minorHAnsi"/>
                              <w:color w:val="7F7F7F" w:themeColor="text1" w:themeTint="80"/>
                              <w:sz w:val="16"/>
                              <w:szCs w:val="16"/>
                            </w:rPr>
                          </w:pPr>
                          <w:r>
                            <w:rPr>
                              <w:rFonts w:cstheme="minorHAnsi"/>
                              <w:color w:val="7F7F7F" w:themeColor="text1" w:themeTint="80"/>
                              <w:sz w:val="16"/>
                              <w:szCs w:val="16"/>
                            </w:rPr>
                            <w:t>8000 Marina Blvd. STE 800</w:t>
                          </w:r>
                        </w:p>
                        <w:p w:rsidR="00907905" w:rsidRPr="005A7C74" w:rsidRDefault="00B54A62" w:rsidP="00907905">
                          <w:pPr>
                            <w:rPr>
                              <w:rFonts w:cstheme="minorHAnsi"/>
                              <w:color w:val="7F7F7F" w:themeColor="text1" w:themeTint="80"/>
                              <w:sz w:val="16"/>
                              <w:szCs w:val="16"/>
                            </w:rPr>
                          </w:pPr>
                          <w:r>
                            <w:rPr>
                              <w:rFonts w:cstheme="minorHAnsi"/>
                              <w:color w:val="7F7F7F" w:themeColor="text1" w:themeTint="80"/>
                              <w:sz w:val="16"/>
                              <w:szCs w:val="16"/>
                            </w:rPr>
                            <w:t>Brisbane</w:t>
                          </w:r>
                          <w:r w:rsidR="00907905" w:rsidRPr="005A7C74">
                            <w:rPr>
                              <w:rFonts w:cstheme="minorHAnsi"/>
                              <w:color w:val="7F7F7F" w:themeColor="text1" w:themeTint="80"/>
                              <w:sz w:val="16"/>
                              <w:szCs w:val="16"/>
                            </w:rPr>
                            <w:t>, CA 94</w:t>
                          </w:r>
                          <w:r>
                            <w:rPr>
                              <w:rFonts w:cstheme="minorHAnsi"/>
                              <w:color w:val="7F7F7F" w:themeColor="text1" w:themeTint="80"/>
                              <w:sz w:val="16"/>
                              <w:szCs w:val="16"/>
                            </w:rPr>
                            <w:t>005</w:t>
                          </w:r>
                        </w:p>
                        <w:p w:rsidR="00907905" w:rsidRPr="005A7C74" w:rsidRDefault="00907905" w:rsidP="00907905">
                          <w:pPr>
                            <w:rPr>
                              <w:rFonts w:cstheme="minorHAnsi"/>
                              <w:color w:val="7F7F7F" w:themeColor="text1" w:themeTint="80"/>
                              <w:sz w:val="6"/>
                              <w:szCs w:val="6"/>
                            </w:rPr>
                          </w:pPr>
                        </w:p>
                        <w:p w:rsidR="00907905" w:rsidRPr="005A7C74" w:rsidRDefault="00907905" w:rsidP="00907905">
                          <w:pPr>
                            <w:rPr>
                              <w:rFonts w:cstheme="minorHAnsi"/>
                              <w:color w:val="7F7F7F" w:themeColor="text1" w:themeTint="80"/>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7E016" id="_x0000_t202" coordsize="21600,21600" o:spt="202" path="m,l,21600r21600,l21600,xe">
              <v:stroke joinstyle="miter"/>
              <v:path gradientshapeok="t" o:connecttype="rect"/>
            </v:shapetype>
            <v:shape id="Text Box 7" o:spid="_x0000_s1026" type="#_x0000_t202" style="position:absolute;margin-left:-127.2pt;margin-top:48.5pt;width:141pt;height:1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" fillcolor="window" stroked="f" strokeweight=".5pt">
              <v:textbox>
                <w:txbxContent>
                  <w:p w:rsidR="00907905" w:rsidRPr="005A7C74" w:rsidRDefault="00B54A62" w:rsidP="00907905">
                    <w:pPr>
                      <w:rPr>
                        <w:rFonts w:cstheme="minorHAnsi"/>
                        <w:b/>
                        <w:color w:val="7F7F7F" w:themeColor="text1" w:themeTint="80"/>
                        <w:sz w:val="18"/>
                        <w:szCs w:val="18"/>
                      </w:rPr>
                    </w:pPr>
                    <w:r>
                      <w:rPr>
                        <w:rFonts w:cstheme="minorHAnsi"/>
                        <w:b/>
                        <w:color w:val="7F7F7F" w:themeColor="text1" w:themeTint="80"/>
                        <w:sz w:val="18"/>
                        <w:szCs w:val="18"/>
                      </w:rPr>
                      <w:t>Procurement Services</w:t>
                    </w:r>
                  </w:p>
                  <w:p w:rsidR="00907905" w:rsidRPr="005A7C74" w:rsidRDefault="00907905" w:rsidP="00907905">
                    <w:pPr>
                      <w:rPr>
                        <w:rFonts w:cstheme="minorHAnsi"/>
                        <w:color w:val="7F7F7F" w:themeColor="text1" w:themeTint="80"/>
                        <w:sz w:val="6"/>
                        <w:szCs w:val="6"/>
                      </w:rPr>
                    </w:pPr>
                  </w:p>
                  <w:p w:rsidR="00907905" w:rsidRPr="005A7C74" w:rsidRDefault="00907905" w:rsidP="00907905">
                    <w:pPr>
                      <w:rPr>
                        <w:rFonts w:cstheme="minorHAnsi"/>
                        <w:color w:val="7F7F7F" w:themeColor="text1" w:themeTint="80"/>
                        <w:sz w:val="16"/>
                        <w:szCs w:val="16"/>
                      </w:rPr>
                    </w:pPr>
                    <w:r w:rsidRPr="005A7C74">
                      <w:rPr>
                        <w:rFonts w:cstheme="minorHAnsi"/>
                        <w:color w:val="7F7F7F" w:themeColor="text1" w:themeTint="80"/>
                        <w:sz w:val="16"/>
                        <w:szCs w:val="16"/>
                      </w:rPr>
                      <w:t xml:space="preserve">UCSF Box </w:t>
                    </w:r>
                    <w:r w:rsidR="00B54A62">
                      <w:rPr>
                        <w:rFonts w:cstheme="minorHAnsi"/>
                        <w:color w:val="7F7F7F" w:themeColor="text1" w:themeTint="80"/>
                        <w:sz w:val="16"/>
                        <w:szCs w:val="16"/>
                      </w:rPr>
                      <w:t>5814</w:t>
                    </w:r>
                  </w:p>
                  <w:p w:rsidR="00907905" w:rsidRPr="005A7C74" w:rsidRDefault="00B54A62" w:rsidP="00907905">
                    <w:pPr>
                      <w:rPr>
                        <w:rFonts w:cstheme="minorHAnsi"/>
                        <w:color w:val="7F7F7F" w:themeColor="text1" w:themeTint="80"/>
                        <w:sz w:val="16"/>
                        <w:szCs w:val="16"/>
                      </w:rPr>
                    </w:pPr>
                    <w:r>
                      <w:rPr>
                        <w:rFonts w:cstheme="minorHAnsi"/>
                        <w:color w:val="7F7F7F" w:themeColor="text1" w:themeTint="80"/>
                        <w:sz w:val="16"/>
                        <w:szCs w:val="16"/>
                      </w:rPr>
                      <w:t>8000 Marina Blvd. STE 800</w:t>
                    </w:r>
                  </w:p>
                  <w:p w:rsidR="00907905" w:rsidRPr="005A7C74" w:rsidRDefault="00B54A62" w:rsidP="00907905">
                    <w:pPr>
                      <w:rPr>
                        <w:rFonts w:cstheme="minorHAnsi"/>
                        <w:color w:val="7F7F7F" w:themeColor="text1" w:themeTint="80"/>
                        <w:sz w:val="16"/>
                        <w:szCs w:val="16"/>
                      </w:rPr>
                    </w:pPr>
                    <w:r>
                      <w:rPr>
                        <w:rFonts w:cstheme="minorHAnsi"/>
                        <w:color w:val="7F7F7F" w:themeColor="text1" w:themeTint="80"/>
                        <w:sz w:val="16"/>
                        <w:szCs w:val="16"/>
                      </w:rPr>
                      <w:t>Brisbane</w:t>
                    </w:r>
                    <w:r w:rsidR="00907905" w:rsidRPr="005A7C74">
                      <w:rPr>
                        <w:rFonts w:cstheme="minorHAnsi"/>
                        <w:color w:val="7F7F7F" w:themeColor="text1" w:themeTint="80"/>
                        <w:sz w:val="16"/>
                        <w:szCs w:val="16"/>
                      </w:rPr>
                      <w:t>, CA 94</w:t>
                    </w:r>
                    <w:r>
                      <w:rPr>
                        <w:rFonts w:cstheme="minorHAnsi"/>
                        <w:color w:val="7F7F7F" w:themeColor="text1" w:themeTint="80"/>
                        <w:sz w:val="16"/>
                        <w:szCs w:val="16"/>
                      </w:rPr>
                      <w:t>005</w:t>
                    </w:r>
                  </w:p>
                  <w:p w:rsidR="00907905" w:rsidRPr="005A7C74" w:rsidRDefault="00907905" w:rsidP="00907905">
                    <w:pPr>
                      <w:rPr>
                        <w:rFonts w:cstheme="minorHAnsi"/>
                        <w:color w:val="7F7F7F" w:themeColor="text1" w:themeTint="80"/>
                        <w:sz w:val="6"/>
                        <w:szCs w:val="6"/>
                      </w:rPr>
                    </w:pPr>
                  </w:p>
                  <w:p w:rsidR="00907905" w:rsidRPr="005A7C74" w:rsidRDefault="00907905" w:rsidP="00907905">
                    <w:pPr>
                      <w:rPr>
                        <w:rFonts w:cstheme="minorHAnsi"/>
                        <w:color w:val="7F7F7F" w:themeColor="text1" w:themeTint="80"/>
                        <w:sz w:val="6"/>
                        <w:szCs w:val="6"/>
                      </w:rPr>
                    </w:pPr>
                  </w:p>
                </w:txbxContent>
              </v:textbox>
            </v:shape>
          </w:pict>
        </mc:Fallback>
      </mc:AlternateContent>
    </w:r>
    <w:r>
      <w:rPr>
        <w:noProof/>
      </w:rPr>
      <w:drawing>
        <wp:anchor distT="0" distB="0" distL="114300" distR="114300" simplePos="0" relativeHeight="251657216" behindDoc="0" locked="0" layoutInCell="1" allowOverlap="1" wp14:anchorId="442124B3" wp14:editId="4689BF5E">
          <wp:simplePos x="0" y="0"/>
          <wp:positionH relativeFrom="margin">
            <wp:posOffset>6080760</wp:posOffset>
          </wp:positionH>
          <wp:positionV relativeFrom="margin">
            <wp:posOffset>-685800</wp:posOffset>
          </wp:positionV>
          <wp:extent cx="495300"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logobox_navy_RGB_.7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D81"/>
    <w:multiLevelType w:val="hybridMultilevel"/>
    <w:tmpl w:val="BAC6C7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43382"/>
    <w:multiLevelType w:val="hybridMultilevel"/>
    <w:tmpl w:val="C6C64E68"/>
    <w:lvl w:ilvl="0" w:tplc="9CEEFAE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44060"/>
    <w:multiLevelType w:val="hybridMultilevel"/>
    <w:tmpl w:val="ACEEB5AA"/>
    <w:lvl w:ilvl="0" w:tplc="C7D2460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822F9"/>
    <w:multiLevelType w:val="hybridMultilevel"/>
    <w:tmpl w:val="49F0DB38"/>
    <w:lvl w:ilvl="0" w:tplc="AF782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0461E"/>
    <w:multiLevelType w:val="hybridMultilevel"/>
    <w:tmpl w:val="7FAEC6B0"/>
    <w:lvl w:ilvl="0" w:tplc="73A85926">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B"/>
    <w:rsid w:val="0002354B"/>
    <w:rsid w:val="000248D9"/>
    <w:rsid w:val="0004045B"/>
    <w:rsid w:val="00043848"/>
    <w:rsid w:val="0005630E"/>
    <w:rsid w:val="00062B4B"/>
    <w:rsid w:val="00073E75"/>
    <w:rsid w:val="000C28A1"/>
    <w:rsid w:val="000F02B3"/>
    <w:rsid w:val="001762DE"/>
    <w:rsid w:val="00176EDB"/>
    <w:rsid w:val="001A05E9"/>
    <w:rsid w:val="001A497E"/>
    <w:rsid w:val="001D3696"/>
    <w:rsid w:val="0022615C"/>
    <w:rsid w:val="00250C14"/>
    <w:rsid w:val="00295A2F"/>
    <w:rsid w:val="002C1216"/>
    <w:rsid w:val="002C3EC1"/>
    <w:rsid w:val="00354FB3"/>
    <w:rsid w:val="00396DB4"/>
    <w:rsid w:val="003A795A"/>
    <w:rsid w:val="003B60A8"/>
    <w:rsid w:val="004160CE"/>
    <w:rsid w:val="00416818"/>
    <w:rsid w:val="004940D8"/>
    <w:rsid w:val="004A32A0"/>
    <w:rsid w:val="004B4081"/>
    <w:rsid w:val="004D3D9E"/>
    <w:rsid w:val="004E10A5"/>
    <w:rsid w:val="0051283C"/>
    <w:rsid w:val="005452EF"/>
    <w:rsid w:val="00556FA2"/>
    <w:rsid w:val="00571C12"/>
    <w:rsid w:val="00581A94"/>
    <w:rsid w:val="00582017"/>
    <w:rsid w:val="00590E3B"/>
    <w:rsid w:val="005949CA"/>
    <w:rsid w:val="005A7C74"/>
    <w:rsid w:val="006007B2"/>
    <w:rsid w:val="00623DA3"/>
    <w:rsid w:val="00635417"/>
    <w:rsid w:val="00667C65"/>
    <w:rsid w:val="00685CDD"/>
    <w:rsid w:val="00692624"/>
    <w:rsid w:val="006B6519"/>
    <w:rsid w:val="006C4865"/>
    <w:rsid w:val="00704693"/>
    <w:rsid w:val="00706562"/>
    <w:rsid w:val="007461F8"/>
    <w:rsid w:val="00772DF2"/>
    <w:rsid w:val="00775E32"/>
    <w:rsid w:val="007F7B24"/>
    <w:rsid w:val="008120E3"/>
    <w:rsid w:val="00813267"/>
    <w:rsid w:val="00815EA8"/>
    <w:rsid w:val="00842101"/>
    <w:rsid w:val="0085594D"/>
    <w:rsid w:val="008730C1"/>
    <w:rsid w:val="008B686F"/>
    <w:rsid w:val="008C4F02"/>
    <w:rsid w:val="00907905"/>
    <w:rsid w:val="00907BEC"/>
    <w:rsid w:val="00933AF8"/>
    <w:rsid w:val="00984FF3"/>
    <w:rsid w:val="00990EFE"/>
    <w:rsid w:val="009B432D"/>
    <w:rsid w:val="009C6B99"/>
    <w:rsid w:val="009F5FF3"/>
    <w:rsid w:val="009F7667"/>
    <w:rsid w:val="00A22B3D"/>
    <w:rsid w:val="00A87BDC"/>
    <w:rsid w:val="00A96701"/>
    <w:rsid w:val="00AA1659"/>
    <w:rsid w:val="00AE3002"/>
    <w:rsid w:val="00B26582"/>
    <w:rsid w:val="00B42D25"/>
    <w:rsid w:val="00B54A62"/>
    <w:rsid w:val="00B735E4"/>
    <w:rsid w:val="00B947C1"/>
    <w:rsid w:val="00B95FB1"/>
    <w:rsid w:val="00BA6697"/>
    <w:rsid w:val="00BA7C6C"/>
    <w:rsid w:val="00BE1B94"/>
    <w:rsid w:val="00C01FE8"/>
    <w:rsid w:val="00C647C4"/>
    <w:rsid w:val="00CA2A1A"/>
    <w:rsid w:val="00CB2C69"/>
    <w:rsid w:val="00CE0A0B"/>
    <w:rsid w:val="00D03E14"/>
    <w:rsid w:val="00D453D5"/>
    <w:rsid w:val="00D84532"/>
    <w:rsid w:val="00DA5FB2"/>
    <w:rsid w:val="00DC685B"/>
    <w:rsid w:val="00DD5E2A"/>
    <w:rsid w:val="00E066AB"/>
    <w:rsid w:val="00E54A5B"/>
    <w:rsid w:val="00E873F4"/>
    <w:rsid w:val="00E9486A"/>
    <w:rsid w:val="00E97D67"/>
    <w:rsid w:val="00EA78E6"/>
    <w:rsid w:val="00ED0027"/>
    <w:rsid w:val="00EE1783"/>
    <w:rsid w:val="00F04EEA"/>
    <w:rsid w:val="00F1762D"/>
    <w:rsid w:val="00F228C3"/>
    <w:rsid w:val="00FD76B1"/>
    <w:rsid w:val="00FE3F52"/>
    <w:rsid w:val="00FF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4BC8"/>
  <w15:docId w15:val="{2C1A9A5E-32B9-4E64-864F-E11603C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26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EDB"/>
    <w:rPr>
      <w:rFonts w:ascii="Tahoma" w:hAnsi="Tahoma" w:cs="Tahoma"/>
      <w:sz w:val="16"/>
      <w:szCs w:val="16"/>
    </w:rPr>
  </w:style>
  <w:style w:type="character" w:customStyle="1" w:styleId="BalloonTextChar">
    <w:name w:val="Balloon Text Char"/>
    <w:basedOn w:val="DefaultParagraphFont"/>
    <w:link w:val="BalloonText"/>
    <w:uiPriority w:val="99"/>
    <w:semiHidden/>
    <w:rsid w:val="00176EDB"/>
    <w:rPr>
      <w:rFonts w:ascii="Tahoma" w:hAnsi="Tahoma" w:cs="Tahoma"/>
      <w:sz w:val="16"/>
      <w:szCs w:val="16"/>
    </w:rPr>
  </w:style>
  <w:style w:type="character" w:styleId="Hyperlink">
    <w:name w:val="Hyperlink"/>
    <w:basedOn w:val="DefaultParagraphFont"/>
    <w:uiPriority w:val="99"/>
    <w:unhideWhenUsed/>
    <w:rsid w:val="00176EDB"/>
    <w:rPr>
      <w:color w:val="0000FF" w:themeColor="hyperlink"/>
      <w:u w:val="single"/>
    </w:rPr>
  </w:style>
  <w:style w:type="paragraph" w:styleId="Header">
    <w:name w:val="header"/>
    <w:basedOn w:val="Normal"/>
    <w:link w:val="HeaderChar"/>
    <w:uiPriority w:val="99"/>
    <w:unhideWhenUsed/>
    <w:rsid w:val="00907905"/>
    <w:pPr>
      <w:tabs>
        <w:tab w:val="center" w:pos="4680"/>
        <w:tab w:val="right" w:pos="9360"/>
      </w:tabs>
    </w:pPr>
  </w:style>
  <w:style w:type="character" w:customStyle="1" w:styleId="HeaderChar">
    <w:name w:val="Header Char"/>
    <w:basedOn w:val="DefaultParagraphFont"/>
    <w:link w:val="Header"/>
    <w:uiPriority w:val="99"/>
    <w:rsid w:val="00907905"/>
  </w:style>
  <w:style w:type="paragraph" w:styleId="Footer">
    <w:name w:val="footer"/>
    <w:basedOn w:val="Normal"/>
    <w:link w:val="FooterChar"/>
    <w:uiPriority w:val="99"/>
    <w:unhideWhenUsed/>
    <w:rsid w:val="00907905"/>
    <w:pPr>
      <w:tabs>
        <w:tab w:val="center" w:pos="4680"/>
        <w:tab w:val="right" w:pos="9360"/>
      </w:tabs>
    </w:pPr>
  </w:style>
  <w:style w:type="character" w:customStyle="1" w:styleId="FooterChar">
    <w:name w:val="Footer Char"/>
    <w:basedOn w:val="DefaultParagraphFont"/>
    <w:link w:val="Footer"/>
    <w:uiPriority w:val="99"/>
    <w:rsid w:val="00907905"/>
  </w:style>
  <w:style w:type="paragraph" w:styleId="ListParagraph">
    <w:name w:val="List Paragraph"/>
    <w:basedOn w:val="Normal"/>
    <w:uiPriority w:val="34"/>
    <w:qFormat/>
    <w:rsid w:val="00BA7C6C"/>
    <w:pPr>
      <w:spacing w:after="160" w:line="259" w:lineRule="auto"/>
      <w:ind w:left="720"/>
      <w:contextualSpacing/>
    </w:pPr>
  </w:style>
  <w:style w:type="character" w:styleId="CommentReference">
    <w:name w:val="annotation reference"/>
    <w:basedOn w:val="DefaultParagraphFont"/>
    <w:uiPriority w:val="99"/>
    <w:semiHidden/>
    <w:unhideWhenUsed/>
    <w:rsid w:val="00706562"/>
    <w:rPr>
      <w:sz w:val="16"/>
      <w:szCs w:val="16"/>
    </w:rPr>
  </w:style>
  <w:style w:type="paragraph" w:styleId="CommentText">
    <w:name w:val="annotation text"/>
    <w:basedOn w:val="Normal"/>
    <w:link w:val="CommentTextChar"/>
    <w:uiPriority w:val="99"/>
    <w:unhideWhenUsed/>
    <w:rsid w:val="00706562"/>
    <w:rPr>
      <w:sz w:val="20"/>
      <w:szCs w:val="20"/>
    </w:rPr>
  </w:style>
  <w:style w:type="character" w:customStyle="1" w:styleId="CommentTextChar">
    <w:name w:val="Comment Text Char"/>
    <w:basedOn w:val="DefaultParagraphFont"/>
    <w:link w:val="CommentText"/>
    <w:uiPriority w:val="99"/>
    <w:rsid w:val="00706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62"/>
    <w:rPr>
      <w:b/>
      <w:bCs/>
    </w:rPr>
  </w:style>
  <w:style w:type="character" w:customStyle="1" w:styleId="CommentSubjectChar">
    <w:name w:val="Comment Subject Char"/>
    <w:basedOn w:val="CommentTextChar"/>
    <w:link w:val="CommentSubject"/>
    <w:uiPriority w:val="99"/>
    <w:semiHidden/>
    <w:rsid w:val="0070656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926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3229">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1455977444">
      <w:bodyDiv w:val="1"/>
      <w:marLeft w:val="0"/>
      <w:marRight w:val="0"/>
      <w:marTop w:val="0"/>
      <w:marBottom w:val="0"/>
      <w:divBdr>
        <w:top w:val="none" w:sz="0" w:space="0" w:color="auto"/>
        <w:left w:val="none" w:sz="0" w:space="0" w:color="auto"/>
        <w:bottom w:val="none" w:sz="0" w:space="0" w:color="auto"/>
        <w:right w:val="none" w:sz="0" w:space="0" w:color="auto"/>
      </w:divBdr>
    </w:div>
    <w:div w:id="1527333555">
      <w:bodyDiv w:val="1"/>
      <w:marLeft w:val="0"/>
      <w:marRight w:val="0"/>
      <w:marTop w:val="0"/>
      <w:marBottom w:val="0"/>
      <w:divBdr>
        <w:top w:val="none" w:sz="0" w:space="0" w:color="auto"/>
        <w:left w:val="none" w:sz="0" w:space="0" w:color="auto"/>
        <w:bottom w:val="none" w:sz="0" w:space="0" w:color="auto"/>
        <w:right w:val="none" w:sz="0" w:space="0" w:color="auto"/>
      </w:divBdr>
    </w:div>
    <w:div w:id="15576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0F55-1364-473C-9A97-10CA8BE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ucsfmc1</dc:creator>
  <cp:lastModifiedBy>Oei, Aaron W</cp:lastModifiedBy>
  <cp:revision>26</cp:revision>
  <cp:lastPrinted>2018-03-14T22:43:00Z</cp:lastPrinted>
  <dcterms:created xsi:type="dcterms:W3CDTF">2018-10-22T20:07:00Z</dcterms:created>
  <dcterms:modified xsi:type="dcterms:W3CDTF">2018-11-05T23:14:00Z</dcterms:modified>
</cp:coreProperties>
</file>